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B34" w:rsidRDefault="00CD4B34" w:rsidP="00CD4B34">
      <w:pPr>
        <w:pStyle w:val="1"/>
      </w:pPr>
      <w:r>
        <w:t>(75-35-4)1,1-二氯乙烯 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299"/>
        <w:gridCol w:w="1876"/>
        <w:gridCol w:w="2510"/>
      </w:tblGrid>
      <w:tr w:rsidR="00CD4B34"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标 识</w:t>
            </w:r>
          </w:p>
        </w:tc>
        <w:tc>
          <w:tcPr>
            <w:tcW w:w="4299" w:type="dxa"/>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bCs/>
              </w:rPr>
            </w:pPr>
            <w:r>
              <w:rPr>
                <w:rFonts w:ascii="宋体" w:hAnsi="宋体" w:hint="eastAsia"/>
                <w:bCs/>
              </w:rPr>
              <w:t>中文名：</w:t>
            </w:r>
            <w:r>
              <w:rPr>
                <w:rFonts w:ascii="宋体" w:hAnsi="宋体" w:hint="eastAsia"/>
                <w:szCs w:val="18"/>
              </w:rPr>
              <w:t>1,1-二氯乙烯 ；偏二氯乙烯</w:t>
            </w:r>
          </w:p>
        </w:tc>
        <w:tc>
          <w:tcPr>
            <w:tcW w:w="4386" w:type="dxa"/>
            <w:gridSpan w:val="2"/>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szCs w:val="18"/>
              </w:rPr>
            </w:pPr>
            <w:r>
              <w:rPr>
                <w:rFonts w:ascii="宋体" w:hAnsi="宋体" w:hint="eastAsia"/>
                <w:spacing w:val="-20"/>
              </w:rPr>
              <w:t>英文名:</w:t>
            </w:r>
            <w:r>
              <w:rPr>
                <w:rFonts w:ascii="宋体" w:hAnsi="宋体" w:hint="eastAsia"/>
                <w:szCs w:val="18"/>
              </w:rPr>
              <w:t>1,1-dichloroethylene;</w:t>
            </w:r>
          </w:p>
          <w:p w:rsidR="00CD4B34" w:rsidRDefault="00CD4B34" w:rsidP="0090435F">
            <w:pPr>
              <w:spacing w:line="247" w:lineRule="exact"/>
              <w:ind w:firstLineChars="300" w:firstLine="630"/>
              <w:rPr>
                <w:rFonts w:ascii="宋体" w:hAnsi="宋体"/>
                <w:spacing w:val="-20"/>
              </w:rPr>
            </w:pPr>
            <w:r>
              <w:rPr>
                <w:rFonts w:ascii="宋体" w:hAnsi="宋体" w:hint="eastAsia"/>
                <w:szCs w:val="18"/>
              </w:rPr>
              <w:t xml:space="preserve"> vinylidene chloride </w:t>
            </w:r>
          </w:p>
        </w:tc>
      </w:tr>
      <w:tr w:rsidR="00CD4B34" w:rsidTr="0090435F">
        <w:trPr>
          <w:cantSplit/>
          <w:jc w:val="center"/>
        </w:trPr>
        <w:tc>
          <w:tcPr>
            <w:tcW w:w="489" w:type="dxa"/>
            <w:vMerge/>
            <w:tcBorders>
              <w:left w:val="single" w:sz="4" w:space="0" w:color="auto"/>
              <w:right w:val="single" w:sz="4" w:space="0" w:color="auto"/>
            </w:tcBorders>
            <w:vAlign w:val="center"/>
          </w:tcPr>
          <w:p w:rsidR="00CD4B34" w:rsidRDefault="00CD4B34" w:rsidP="0090435F">
            <w:pPr>
              <w:spacing w:line="247" w:lineRule="exact"/>
              <w:rPr>
                <w:rFonts w:ascii="宋体" w:hAnsi="宋体"/>
              </w:rPr>
            </w:pPr>
          </w:p>
        </w:tc>
        <w:tc>
          <w:tcPr>
            <w:tcW w:w="4299" w:type="dxa"/>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vertAlign w:val="subscript"/>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2</w:t>
            </w:r>
            <w:r>
              <w:rPr>
                <w:rFonts w:ascii="宋体" w:hAnsi="宋体" w:hint="eastAsia"/>
                <w:szCs w:val="18"/>
              </w:rPr>
              <w:t>H</w:t>
            </w:r>
            <w:r>
              <w:rPr>
                <w:rFonts w:ascii="宋体" w:hAnsi="宋体" w:hint="eastAsia"/>
                <w:szCs w:val="18"/>
                <w:vertAlign w:val="subscript"/>
              </w:rPr>
              <w:t>2</w:t>
            </w:r>
            <w:r>
              <w:rPr>
                <w:rFonts w:ascii="宋体" w:hAnsi="宋体" w:hint="eastAsia"/>
                <w:szCs w:val="18"/>
              </w:rPr>
              <w:t>Cl</w:t>
            </w:r>
            <w:r>
              <w:rPr>
                <w:rFonts w:ascii="宋体" w:hAnsi="宋体" w:hint="eastAsia"/>
                <w:szCs w:val="18"/>
                <w:vertAlign w:val="subscript"/>
              </w:rPr>
              <w:t>2</w:t>
            </w:r>
          </w:p>
        </w:tc>
        <w:tc>
          <w:tcPr>
            <w:tcW w:w="1876" w:type="dxa"/>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分子量：96.94</w:t>
            </w:r>
          </w:p>
        </w:tc>
        <w:tc>
          <w:tcPr>
            <w:tcW w:w="2510" w:type="dxa"/>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UN编号：</w:t>
            </w:r>
            <w:r>
              <w:rPr>
                <w:rFonts w:ascii="宋体" w:hAnsi="宋体" w:hint="eastAsia"/>
                <w:szCs w:val="18"/>
              </w:rPr>
              <w:t>1303</w:t>
            </w:r>
          </w:p>
        </w:tc>
      </w:tr>
      <w:tr w:rsidR="00CD4B34" w:rsidTr="0090435F">
        <w:trPr>
          <w:cantSplit/>
          <w:jc w:val="center"/>
        </w:trPr>
        <w:tc>
          <w:tcPr>
            <w:tcW w:w="489" w:type="dxa"/>
            <w:vMerge/>
            <w:tcBorders>
              <w:left w:val="single" w:sz="4" w:space="0" w:color="auto"/>
              <w:right w:val="single" w:sz="4" w:space="0" w:color="auto"/>
            </w:tcBorders>
            <w:vAlign w:val="center"/>
          </w:tcPr>
          <w:p w:rsidR="00CD4B34" w:rsidRDefault="00CD4B34" w:rsidP="0090435F">
            <w:pPr>
              <w:spacing w:line="247" w:lineRule="exact"/>
              <w:rPr>
                <w:rFonts w:ascii="宋体" w:hAnsi="宋体"/>
              </w:rPr>
            </w:pPr>
          </w:p>
        </w:tc>
        <w:tc>
          <w:tcPr>
            <w:tcW w:w="4299" w:type="dxa"/>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危险类别：第3.2类；中闪点易燃液体</w:t>
            </w:r>
          </w:p>
        </w:tc>
        <w:tc>
          <w:tcPr>
            <w:tcW w:w="1876" w:type="dxa"/>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危规号：32040</w:t>
            </w:r>
          </w:p>
        </w:tc>
        <w:tc>
          <w:tcPr>
            <w:tcW w:w="2510" w:type="dxa"/>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CAS号：</w:t>
            </w:r>
            <w:r>
              <w:rPr>
                <w:rFonts w:ascii="宋体" w:hAnsi="宋体" w:hint="eastAsia"/>
                <w:szCs w:val="18"/>
              </w:rPr>
              <w:t>75-35-4</w:t>
            </w:r>
          </w:p>
        </w:tc>
      </w:tr>
      <w:tr w:rsidR="00CD4B34" w:rsidTr="0090435F">
        <w:trPr>
          <w:cantSplit/>
          <w:jc w:val="center"/>
        </w:trPr>
        <w:tc>
          <w:tcPr>
            <w:tcW w:w="489" w:type="dxa"/>
            <w:vMerge/>
            <w:tcBorders>
              <w:left w:val="single" w:sz="4" w:space="0" w:color="auto"/>
              <w:bottom w:val="nil"/>
              <w:right w:val="single" w:sz="4" w:space="0" w:color="auto"/>
            </w:tcBorders>
            <w:vAlign w:val="center"/>
          </w:tcPr>
          <w:p w:rsidR="00CD4B34" w:rsidRDefault="00CD4B34" w:rsidP="0090435F">
            <w:pPr>
              <w:spacing w:line="247" w:lineRule="exact"/>
              <w:rPr>
                <w:rFonts w:ascii="宋体" w:hAnsi="宋体"/>
              </w:rPr>
            </w:pPr>
          </w:p>
        </w:tc>
        <w:tc>
          <w:tcPr>
            <w:tcW w:w="4299" w:type="dxa"/>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包装标志：易燃液体</w:t>
            </w:r>
          </w:p>
        </w:tc>
        <w:tc>
          <w:tcPr>
            <w:tcW w:w="4386" w:type="dxa"/>
            <w:gridSpan w:val="2"/>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包装类别：Ⅰ类</w:t>
            </w:r>
          </w:p>
        </w:tc>
      </w:tr>
      <w:tr w:rsidR="00CD4B34"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理</w:t>
            </w:r>
          </w:p>
          <w:p w:rsidR="00CD4B34" w:rsidRDefault="00CD4B34" w:rsidP="0090435F">
            <w:pPr>
              <w:spacing w:line="247" w:lineRule="exact"/>
              <w:rPr>
                <w:rFonts w:ascii="宋体" w:hAnsi="宋体"/>
              </w:rPr>
            </w:pPr>
            <w:r>
              <w:rPr>
                <w:rFonts w:ascii="宋体" w:hAnsi="宋体" w:hint="eastAsia"/>
              </w:rPr>
              <w:t>化</w:t>
            </w:r>
          </w:p>
          <w:p w:rsidR="00CD4B34" w:rsidRDefault="00CD4B34" w:rsidP="0090435F">
            <w:pPr>
              <w:spacing w:line="247" w:lineRule="exact"/>
              <w:rPr>
                <w:rFonts w:ascii="宋体" w:hAnsi="宋体"/>
              </w:rPr>
            </w:pPr>
            <w:r>
              <w:rPr>
                <w:rFonts w:ascii="宋体" w:hAnsi="宋体" w:hint="eastAsia"/>
              </w:rPr>
              <w:t>性</w:t>
            </w:r>
          </w:p>
          <w:p w:rsidR="00CD4B34" w:rsidRDefault="00CD4B34" w:rsidP="0090435F">
            <w:pPr>
              <w:spacing w:line="247" w:lineRule="exact"/>
              <w:rPr>
                <w:rFonts w:ascii="宋体" w:hAnsi="宋体"/>
              </w:rPr>
            </w:pPr>
            <w:r>
              <w:rPr>
                <w:rFonts w:ascii="宋体" w:hAnsi="宋体" w:hint="eastAsia"/>
              </w:rPr>
              <w:t>质</w:t>
            </w:r>
          </w:p>
        </w:tc>
        <w:tc>
          <w:tcPr>
            <w:tcW w:w="4299" w:type="dxa"/>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外观与性状：</w:t>
            </w:r>
            <w:r>
              <w:rPr>
                <w:rFonts w:ascii="宋体" w:hAnsi="宋体" w:hint="eastAsia"/>
                <w:szCs w:val="18"/>
              </w:rPr>
              <w:t>无色液体，带有不愉快气味。</w:t>
            </w:r>
          </w:p>
        </w:tc>
        <w:tc>
          <w:tcPr>
            <w:tcW w:w="4386" w:type="dxa"/>
            <w:gridSpan w:val="2"/>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bCs/>
              </w:rPr>
              <w:t>溶解性：</w:t>
            </w:r>
            <w:r>
              <w:rPr>
                <w:rFonts w:ascii="宋体" w:hAnsi="宋体" w:hint="eastAsia"/>
                <w:szCs w:val="18"/>
              </w:rPr>
              <w:t>不溶于水。</w:t>
            </w:r>
          </w:p>
        </w:tc>
      </w:tr>
      <w:tr w:rsidR="00CD4B3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p>
        </w:tc>
        <w:tc>
          <w:tcPr>
            <w:tcW w:w="4299" w:type="dxa"/>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熔点（℃）：-122.6</w:t>
            </w:r>
          </w:p>
        </w:tc>
        <w:tc>
          <w:tcPr>
            <w:tcW w:w="4386" w:type="dxa"/>
            <w:gridSpan w:val="2"/>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沸点（℃）：31.6</w:t>
            </w:r>
          </w:p>
        </w:tc>
      </w:tr>
      <w:tr w:rsidR="00CD4B3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p>
        </w:tc>
        <w:tc>
          <w:tcPr>
            <w:tcW w:w="4299" w:type="dxa"/>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相对密度（水＝1）：1.21</w:t>
            </w:r>
          </w:p>
        </w:tc>
        <w:tc>
          <w:tcPr>
            <w:tcW w:w="4386" w:type="dxa"/>
            <w:gridSpan w:val="2"/>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相对密度（空气＝1）：3.4</w:t>
            </w:r>
          </w:p>
        </w:tc>
      </w:tr>
      <w:tr w:rsidR="00CD4B3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p>
        </w:tc>
        <w:tc>
          <w:tcPr>
            <w:tcW w:w="4299" w:type="dxa"/>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饱和蒸气压（kPa）：65.98（20℃）</w:t>
            </w:r>
          </w:p>
        </w:tc>
        <w:tc>
          <w:tcPr>
            <w:tcW w:w="4386" w:type="dxa"/>
            <w:gridSpan w:val="2"/>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燃烧热（kJ/mol）：1094.9</w:t>
            </w:r>
          </w:p>
        </w:tc>
      </w:tr>
      <w:tr w:rsidR="00CD4B34"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p>
        </w:tc>
        <w:tc>
          <w:tcPr>
            <w:tcW w:w="4299" w:type="dxa"/>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临界温度（℃）：220.8</w:t>
            </w:r>
          </w:p>
        </w:tc>
        <w:tc>
          <w:tcPr>
            <w:tcW w:w="4386" w:type="dxa"/>
            <w:gridSpan w:val="2"/>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临界压力（MPa）：5.21</w:t>
            </w:r>
          </w:p>
        </w:tc>
      </w:tr>
      <w:tr w:rsidR="00CD4B34"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燃</w:t>
            </w:r>
          </w:p>
          <w:p w:rsidR="00CD4B34" w:rsidRDefault="00CD4B34" w:rsidP="0090435F">
            <w:pPr>
              <w:spacing w:line="247" w:lineRule="exact"/>
              <w:rPr>
                <w:rFonts w:ascii="宋体" w:hAnsi="宋体"/>
              </w:rPr>
            </w:pPr>
            <w:r>
              <w:rPr>
                <w:rFonts w:ascii="宋体" w:hAnsi="宋体" w:hint="eastAsia"/>
              </w:rPr>
              <w:t>烧</w:t>
            </w:r>
          </w:p>
          <w:p w:rsidR="00CD4B34" w:rsidRDefault="00CD4B34" w:rsidP="0090435F">
            <w:pPr>
              <w:spacing w:line="247" w:lineRule="exact"/>
              <w:rPr>
                <w:rFonts w:ascii="宋体" w:hAnsi="宋体"/>
              </w:rPr>
            </w:pPr>
            <w:r>
              <w:rPr>
                <w:rFonts w:ascii="宋体" w:hAnsi="宋体" w:hint="eastAsia"/>
              </w:rPr>
              <w:t>爆</w:t>
            </w:r>
          </w:p>
          <w:p w:rsidR="00CD4B34" w:rsidRDefault="00CD4B34" w:rsidP="0090435F">
            <w:pPr>
              <w:spacing w:line="247" w:lineRule="exact"/>
              <w:rPr>
                <w:rFonts w:ascii="宋体" w:hAnsi="宋体"/>
              </w:rPr>
            </w:pPr>
            <w:r>
              <w:rPr>
                <w:rFonts w:ascii="宋体" w:hAnsi="宋体" w:hint="eastAsia"/>
              </w:rPr>
              <w:t>炸</w:t>
            </w:r>
          </w:p>
          <w:p w:rsidR="00CD4B34" w:rsidRDefault="00CD4B34" w:rsidP="0090435F">
            <w:pPr>
              <w:spacing w:line="247" w:lineRule="exact"/>
              <w:rPr>
                <w:rFonts w:ascii="宋体" w:hAnsi="宋体"/>
              </w:rPr>
            </w:pPr>
            <w:r>
              <w:rPr>
                <w:rFonts w:ascii="宋体" w:hAnsi="宋体" w:hint="eastAsia"/>
              </w:rPr>
              <w:t>危</w:t>
            </w:r>
          </w:p>
          <w:p w:rsidR="00CD4B34" w:rsidRDefault="00CD4B34" w:rsidP="0090435F">
            <w:pPr>
              <w:spacing w:line="247" w:lineRule="exact"/>
              <w:rPr>
                <w:rFonts w:ascii="宋体" w:hAnsi="宋体"/>
              </w:rPr>
            </w:pPr>
            <w:r>
              <w:rPr>
                <w:rFonts w:ascii="宋体" w:hAnsi="宋体" w:hint="eastAsia"/>
              </w:rPr>
              <w:t>险</w:t>
            </w:r>
          </w:p>
          <w:p w:rsidR="00CD4B34" w:rsidRDefault="00CD4B34" w:rsidP="0090435F">
            <w:pPr>
              <w:spacing w:line="247" w:lineRule="exact"/>
              <w:rPr>
                <w:rFonts w:ascii="宋体" w:hAnsi="宋体"/>
              </w:rPr>
            </w:pPr>
            <w:r>
              <w:rPr>
                <w:rFonts w:ascii="宋体" w:hAnsi="宋体" w:hint="eastAsia"/>
              </w:rPr>
              <w:t>性</w:t>
            </w:r>
          </w:p>
        </w:tc>
        <w:tc>
          <w:tcPr>
            <w:tcW w:w="4299" w:type="dxa"/>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燃烧性：易燃</w:t>
            </w:r>
          </w:p>
        </w:tc>
        <w:tc>
          <w:tcPr>
            <w:tcW w:w="4386" w:type="dxa"/>
            <w:gridSpan w:val="2"/>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闪点（℃）：-28</w:t>
            </w:r>
          </w:p>
        </w:tc>
      </w:tr>
      <w:tr w:rsidR="00CD4B34" w:rsidTr="0090435F">
        <w:trPr>
          <w:cantSplit/>
          <w:jc w:val="center"/>
        </w:trPr>
        <w:tc>
          <w:tcPr>
            <w:tcW w:w="489" w:type="dxa"/>
            <w:vMerge/>
            <w:tcBorders>
              <w:top w:val="single" w:sz="4" w:space="0" w:color="auto"/>
              <w:left w:val="single" w:sz="4" w:space="0" w:color="auto"/>
              <w:right w:val="single" w:sz="4" w:space="0" w:color="auto"/>
            </w:tcBorders>
            <w:vAlign w:val="center"/>
          </w:tcPr>
          <w:p w:rsidR="00CD4B34" w:rsidRDefault="00CD4B34" w:rsidP="0090435F">
            <w:pPr>
              <w:spacing w:line="247" w:lineRule="exact"/>
              <w:rPr>
                <w:rFonts w:ascii="宋体" w:hAnsi="宋体"/>
              </w:rPr>
            </w:pPr>
          </w:p>
        </w:tc>
        <w:tc>
          <w:tcPr>
            <w:tcW w:w="4299" w:type="dxa"/>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爆炸下限（%）：6.5</w:t>
            </w:r>
          </w:p>
        </w:tc>
        <w:tc>
          <w:tcPr>
            <w:tcW w:w="4386" w:type="dxa"/>
            <w:gridSpan w:val="2"/>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爆炸上限（%）：15.0</w:t>
            </w:r>
          </w:p>
        </w:tc>
      </w:tr>
      <w:tr w:rsidR="00CD4B34" w:rsidTr="0090435F">
        <w:trPr>
          <w:cantSplit/>
          <w:jc w:val="center"/>
        </w:trPr>
        <w:tc>
          <w:tcPr>
            <w:tcW w:w="489" w:type="dxa"/>
            <w:vMerge/>
            <w:tcBorders>
              <w:top w:val="single" w:sz="4" w:space="0" w:color="auto"/>
              <w:left w:val="single" w:sz="4" w:space="0" w:color="auto"/>
              <w:right w:val="single" w:sz="4" w:space="0" w:color="auto"/>
            </w:tcBorders>
            <w:vAlign w:val="center"/>
          </w:tcPr>
          <w:p w:rsidR="00CD4B34" w:rsidRDefault="00CD4B34" w:rsidP="0090435F">
            <w:pPr>
              <w:spacing w:line="247" w:lineRule="exact"/>
              <w:rPr>
                <w:rFonts w:ascii="宋体" w:hAnsi="宋体"/>
              </w:rPr>
            </w:pPr>
          </w:p>
        </w:tc>
        <w:tc>
          <w:tcPr>
            <w:tcW w:w="4299" w:type="dxa"/>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引燃温度（℃）：530</w:t>
            </w:r>
          </w:p>
        </w:tc>
        <w:tc>
          <w:tcPr>
            <w:tcW w:w="4386" w:type="dxa"/>
            <w:gridSpan w:val="2"/>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最小点火能（mJ）：无资料</w:t>
            </w:r>
          </w:p>
        </w:tc>
      </w:tr>
      <w:tr w:rsidR="00CD4B34" w:rsidTr="0090435F">
        <w:trPr>
          <w:cantSplit/>
          <w:jc w:val="center"/>
        </w:trPr>
        <w:tc>
          <w:tcPr>
            <w:tcW w:w="489" w:type="dxa"/>
            <w:vMerge/>
            <w:tcBorders>
              <w:left w:val="single" w:sz="4" w:space="0" w:color="auto"/>
              <w:right w:val="single" w:sz="4" w:space="0" w:color="auto"/>
            </w:tcBorders>
            <w:vAlign w:val="center"/>
          </w:tcPr>
          <w:p w:rsidR="00CD4B34" w:rsidRDefault="00CD4B34" w:rsidP="0090435F">
            <w:pPr>
              <w:spacing w:line="247" w:lineRule="exact"/>
              <w:rPr>
                <w:rFonts w:ascii="宋体" w:hAnsi="宋体"/>
              </w:rPr>
            </w:pPr>
          </w:p>
        </w:tc>
        <w:tc>
          <w:tcPr>
            <w:tcW w:w="4299" w:type="dxa"/>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最大爆炸压力（MPa）：无资料</w:t>
            </w:r>
          </w:p>
        </w:tc>
        <w:tc>
          <w:tcPr>
            <w:tcW w:w="4386" w:type="dxa"/>
            <w:gridSpan w:val="2"/>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稳定性： 稳定</w:t>
            </w:r>
          </w:p>
        </w:tc>
      </w:tr>
      <w:tr w:rsidR="00CD4B34" w:rsidTr="0090435F">
        <w:trPr>
          <w:cantSplit/>
          <w:jc w:val="center"/>
        </w:trPr>
        <w:tc>
          <w:tcPr>
            <w:tcW w:w="489" w:type="dxa"/>
            <w:vMerge/>
            <w:tcBorders>
              <w:left w:val="single" w:sz="4" w:space="0" w:color="auto"/>
              <w:right w:val="single" w:sz="4" w:space="0" w:color="auto"/>
            </w:tcBorders>
            <w:vAlign w:val="center"/>
          </w:tcPr>
          <w:p w:rsidR="00CD4B34" w:rsidRDefault="00CD4B34" w:rsidP="0090435F">
            <w:pPr>
              <w:spacing w:line="247" w:lineRule="exact"/>
              <w:rPr>
                <w:rFonts w:ascii="宋体" w:hAnsi="宋体"/>
              </w:rPr>
            </w:pPr>
          </w:p>
        </w:tc>
        <w:tc>
          <w:tcPr>
            <w:tcW w:w="4299" w:type="dxa"/>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聚合危害：聚合</w:t>
            </w:r>
          </w:p>
        </w:tc>
        <w:tc>
          <w:tcPr>
            <w:tcW w:w="4386" w:type="dxa"/>
            <w:gridSpan w:val="2"/>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避免接触的条件：</w:t>
            </w:r>
            <w:r>
              <w:rPr>
                <w:rFonts w:ascii="宋体" w:hAnsi="宋体" w:hint="eastAsia"/>
                <w:szCs w:val="18"/>
              </w:rPr>
              <w:t>受热、</w:t>
            </w:r>
            <w:r>
              <w:rPr>
                <w:rFonts w:ascii="宋体" w:hAnsi="宋体" w:hint="eastAsia"/>
              </w:rPr>
              <w:t>光照。</w:t>
            </w:r>
          </w:p>
        </w:tc>
      </w:tr>
      <w:tr w:rsidR="00CD4B34" w:rsidTr="0090435F">
        <w:trPr>
          <w:cantSplit/>
          <w:jc w:val="center"/>
        </w:trPr>
        <w:tc>
          <w:tcPr>
            <w:tcW w:w="489" w:type="dxa"/>
            <w:vMerge/>
            <w:tcBorders>
              <w:left w:val="single" w:sz="4" w:space="0" w:color="auto"/>
              <w:right w:val="single" w:sz="4" w:space="0" w:color="auto"/>
            </w:tcBorders>
            <w:vAlign w:val="center"/>
          </w:tcPr>
          <w:p w:rsidR="00CD4B34" w:rsidRDefault="00CD4B34" w:rsidP="0090435F">
            <w:pPr>
              <w:spacing w:line="247"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燃烧分解产物：</w:t>
            </w:r>
            <w:r>
              <w:rPr>
                <w:rFonts w:ascii="宋体" w:hAnsi="宋体" w:hint="eastAsia"/>
                <w:szCs w:val="18"/>
              </w:rPr>
              <w:t>一氧化碳、二氧化碳、氯化氢、光气。</w:t>
            </w:r>
          </w:p>
        </w:tc>
      </w:tr>
      <w:tr w:rsidR="00CD4B34" w:rsidTr="0090435F">
        <w:trPr>
          <w:cantSplit/>
          <w:jc w:val="center"/>
        </w:trPr>
        <w:tc>
          <w:tcPr>
            <w:tcW w:w="489" w:type="dxa"/>
            <w:vMerge/>
            <w:tcBorders>
              <w:left w:val="single" w:sz="4" w:space="0" w:color="auto"/>
              <w:right w:val="single" w:sz="4" w:space="0" w:color="auto"/>
            </w:tcBorders>
            <w:vAlign w:val="center"/>
          </w:tcPr>
          <w:p w:rsidR="00CD4B34" w:rsidRDefault="00CD4B34" w:rsidP="0090435F">
            <w:pPr>
              <w:spacing w:line="247"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禁忌物：</w:t>
            </w:r>
            <w:r>
              <w:rPr>
                <w:rFonts w:ascii="宋体" w:hAnsi="宋体" w:hint="eastAsia"/>
                <w:szCs w:val="18"/>
              </w:rPr>
              <w:t>强氧化剂、酸类、碱类。</w:t>
            </w:r>
          </w:p>
        </w:tc>
      </w:tr>
      <w:tr w:rsidR="00CD4B34" w:rsidTr="0090435F">
        <w:trPr>
          <w:cantSplit/>
          <w:jc w:val="center"/>
        </w:trPr>
        <w:tc>
          <w:tcPr>
            <w:tcW w:w="489" w:type="dxa"/>
            <w:vMerge/>
            <w:tcBorders>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危险特性：</w:t>
            </w:r>
            <w:r>
              <w:rPr>
                <w:rFonts w:ascii="宋体" w:hAnsi="宋体" w:hint="eastAsia"/>
                <w:szCs w:val="18"/>
              </w:rPr>
              <w:t>易燃，其蒸气与空气可形成爆炸性混合物，遇明火、高热能引起燃烧爆炸。受高热分解产生有毒的腐蚀性烟气。与氧化剂接触猛烈反应。其蒸气比空气重，能在较低处扩散到相当远的地方，遇火源会着火回燃。</w:t>
            </w:r>
          </w:p>
        </w:tc>
      </w:tr>
      <w:tr w:rsidR="00CD4B34" w:rsidTr="0090435F">
        <w:trPr>
          <w:cantSplit/>
          <w:jc w:val="center"/>
        </w:trPr>
        <w:tc>
          <w:tcPr>
            <w:tcW w:w="489" w:type="dxa"/>
            <w:vMerge/>
            <w:tcBorders>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雾状水、泡沫、干粉、二氧化碳、砂土。用水灭火无效。</w:t>
            </w:r>
          </w:p>
        </w:tc>
      </w:tr>
      <w:tr w:rsidR="00CD4B3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毒</w:t>
            </w:r>
          </w:p>
          <w:p w:rsidR="00CD4B34" w:rsidRDefault="00CD4B34" w:rsidP="0090435F">
            <w:pPr>
              <w:spacing w:line="247" w:lineRule="exact"/>
              <w:rPr>
                <w:rFonts w:ascii="宋体" w:hAnsi="宋体"/>
                <w:bCs/>
              </w:rPr>
            </w:pPr>
            <w:r>
              <w:rPr>
                <w:rFonts w:ascii="宋体" w:hAnsi="宋体" w:hint="eastAsia"/>
                <w:bCs/>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szCs w:val="18"/>
              </w:rPr>
              <w:t>LD</w:t>
            </w:r>
            <w:r>
              <w:rPr>
                <w:rFonts w:ascii="宋体" w:hAnsi="宋体" w:hint="eastAsia"/>
                <w:szCs w:val="18"/>
                <w:vertAlign w:val="subscript"/>
              </w:rPr>
              <w:t>50</w:t>
            </w:r>
            <w:r>
              <w:rPr>
                <w:rFonts w:ascii="宋体" w:hAnsi="宋体" w:hint="eastAsia"/>
                <w:szCs w:val="18"/>
              </w:rPr>
              <w:t>：200 mg/kg(大鼠经口)</w:t>
            </w:r>
          </w:p>
          <w:p w:rsidR="00CD4B34" w:rsidRDefault="00CD4B34" w:rsidP="0090435F">
            <w:pPr>
              <w:spacing w:line="247" w:lineRule="exact"/>
              <w:rPr>
                <w:rFonts w:ascii="宋体" w:hAnsi="宋体"/>
              </w:rPr>
            </w:pPr>
            <w:r>
              <w:rPr>
                <w:rFonts w:ascii="宋体" w:hAnsi="宋体" w:hint="eastAsia"/>
                <w:szCs w:val="18"/>
              </w:rPr>
              <w:t>LC</w:t>
            </w:r>
            <w:r>
              <w:rPr>
                <w:rFonts w:ascii="宋体" w:hAnsi="宋体" w:hint="eastAsia"/>
                <w:szCs w:val="18"/>
                <w:vertAlign w:val="subscript"/>
              </w:rPr>
              <w:t>50</w:t>
            </w:r>
            <w:r>
              <w:rPr>
                <w:rFonts w:ascii="宋体" w:hAnsi="宋体" w:hint="eastAsia"/>
                <w:szCs w:val="18"/>
              </w:rPr>
              <w:t>：25210mg/m3，4小时(大鼠吸入)</w:t>
            </w:r>
          </w:p>
        </w:tc>
      </w:tr>
      <w:tr w:rsidR="00CD4B34"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侵入途经：吸入、食入、经皮吸收。</w:t>
            </w:r>
          </w:p>
        </w:tc>
      </w:tr>
      <w:tr w:rsidR="00CD4B34" w:rsidTr="0090435F">
        <w:trPr>
          <w:cantSplit/>
          <w:jc w:val="center"/>
        </w:trPr>
        <w:tc>
          <w:tcPr>
            <w:tcW w:w="489" w:type="dxa"/>
            <w:vMerge/>
            <w:tcBorders>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bCs/>
              </w:rPr>
            </w:pPr>
            <w:r>
              <w:rPr>
                <w:rFonts w:ascii="宋体" w:hAnsi="宋体" w:hint="eastAsia"/>
                <w:szCs w:val="18"/>
              </w:rPr>
              <w:t>主要影响中枢神经系统，并有眼及上呼吸道刺激症状。急性中毒：短时间接触低浓度，眼及咽喉部烧灼感；浓度增高，有眩晕、恶心、呕吐甚至酩酊状；吸入高浓度还可致死。可致角膜损伤及皮肤灼伤。慢性影响：长期接触，除粘膜刺激症状外，常伴有神经衰弱综合征。</w:t>
            </w:r>
          </w:p>
        </w:tc>
      </w:tr>
      <w:tr w:rsidR="00CD4B34" w:rsidTr="0090435F">
        <w:trPr>
          <w:cantSplit/>
          <w:jc w:val="center"/>
        </w:trPr>
        <w:tc>
          <w:tcPr>
            <w:tcW w:w="489" w:type="dxa"/>
            <w:tcBorders>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急</w:t>
            </w:r>
          </w:p>
          <w:p w:rsidR="00CD4B34" w:rsidRDefault="00CD4B34" w:rsidP="0090435F">
            <w:pPr>
              <w:spacing w:line="247"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皮肤接触：</w:t>
            </w:r>
            <w:r>
              <w:rPr>
                <w:rFonts w:ascii="宋体" w:hAnsi="宋体" w:hint="eastAsia"/>
                <w:szCs w:val="18"/>
              </w:rPr>
              <w:t>立即脱去污染的衣着，用大量流动清水冲洗至少15分钟。就医。</w:t>
            </w:r>
            <w:r>
              <w:rPr>
                <w:rFonts w:ascii="宋体" w:hAnsi="宋体" w:hint="eastAsia"/>
              </w:rPr>
              <w:t xml:space="preserve">  ※眼睛接触：</w:t>
            </w:r>
            <w:r>
              <w:rPr>
                <w:rFonts w:ascii="宋体" w:hAnsi="宋体" w:hint="eastAsia"/>
                <w:szCs w:val="18"/>
              </w:rPr>
              <w:t>立即提起眼睑，用大量流动清水或生理盐水彻底冲洗至少15分钟。就医。</w:t>
            </w:r>
            <w:r>
              <w:rPr>
                <w:rFonts w:ascii="宋体" w:hAnsi="宋体" w:hint="eastAsia"/>
              </w:rPr>
              <w:t xml:space="preserve">  ※吸入：</w:t>
            </w:r>
            <w:r>
              <w:rPr>
                <w:rFonts w:ascii="宋体" w:hAnsi="宋体" w:hint="eastAsia"/>
                <w:szCs w:val="18"/>
              </w:rPr>
              <w:t>迅速脱离现场至空气新鲜处。保持呼吸道通畅。如呼吸困难，给输氧。如呼吸停止，立即进行人工呼吸。就医。</w:t>
            </w:r>
            <w:r>
              <w:rPr>
                <w:rFonts w:ascii="宋体" w:hAnsi="宋体" w:hint="eastAsia"/>
              </w:rPr>
              <w:t xml:space="preserve">   ※食入：</w:t>
            </w:r>
            <w:r>
              <w:rPr>
                <w:rFonts w:ascii="宋体" w:hAnsi="宋体" w:hint="eastAsia"/>
                <w:szCs w:val="18"/>
              </w:rPr>
              <w:t>用水漱口，给饮牛奶或蛋清。就医。</w:t>
            </w:r>
          </w:p>
        </w:tc>
      </w:tr>
      <w:tr w:rsidR="00CD4B3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防</w:t>
            </w:r>
          </w:p>
          <w:p w:rsidR="00CD4B34" w:rsidRDefault="00CD4B34" w:rsidP="0090435F">
            <w:pPr>
              <w:spacing w:line="247"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工程控制：</w:t>
            </w:r>
            <w:r>
              <w:rPr>
                <w:rFonts w:ascii="宋体" w:hAnsi="宋体" w:hint="eastAsia"/>
                <w:szCs w:val="18"/>
              </w:rPr>
              <w:t>密闭操作，局部排风。提供安全淋浴和洗眼设备。</w:t>
            </w:r>
            <w:r>
              <w:rPr>
                <w:rFonts w:ascii="宋体" w:hAnsi="宋体" w:hint="eastAsia"/>
              </w:rPr>
              <w:t xml:space="preserve">     ※呼吸系统防护：</w:t>
            </w:r>
            <w:r>
              <w:rPr>
                <w:rFonts w:ascii="宋体" w:hAnsi="宋体" w:hint="eastAsia"/>
                <w:szCs w:val="18"/>
              </w:rPr>
              <w:t>空气中浓度超标时，应该佩戴过滤式防毒面具（半面罩）。紧急事态抢救或撤离时，佩戴隔离式呼吸器。</w:t>
            </w:r>
            <w:r>
              <w:rPr>
                <w:rFonts w:ascii="宋体" w:hAnsi="宋体" w:hint="eastAsia"/>
              </w:rPr>
              <w:t xml:space="preserve">    ※眼睛防护：</w:t>
            </w:r>
            <w:r>
              <w:rPr>
                <w:rFonts w:ascii="宋体" w:hAnsi="宋体" w:hint="eastAsia"/>
                <w:szCs w:val="18"/>
              </w:rPr>
              <w:t>戴化学安全防护眼镜。</w:t>
            </w:r>
            <w:r>
              <w:rPr>
                <w:rFonts w:ascii="宋体" w:hAnsi="宋体" w:hint="eastAsia"/>
              </w:rPr>
              <w:t xml:space="preserve">    ※身体防护：</w:t>
            </w:r>
            <w:r>
              <w:rPr>
                <w:rFonts w:ascii="宋体" w:hAnsi="宋体" w:hint="eastAsia"/>
                <w:szCs w:val="18"/>
              </w:rPr>
              <w:t>穿防静电工作服。</w:t>
            </w:r>
            <w:r>
              <w:rPr>
                <w:rFonts w:ascii="宋体" w:hAnsi="宋体" w:hint="eastAsia"/>
              </w:rPr>
              <w:t xml:space="preserve">    ※手防护：</w:t>
            </w:r>
            <w:r>
              <w:rPr>
                <w:rFonts w:ascii="宋体" w:hAnsi="宋体" w:hint="eastAsia"/>
                <w:szCs w:val="18"/>
              </w:rPr>
              <w:t>戴橡胶耐油手套。</w:t>
            </w:r>
            <w:r>
              <w:rPr>
                <w:rFonts w:ascii="宋体" w:hAnsi="宋体" w:hint="eastAsia"/>
              </w:rPr>
              <w:t xml:space="preserve">    ※其他：</w:t>
            </w:r>
            <w:r>
              <w:rPr>
                <w:rFonts w:ascii="宋体" w:hAnsi="宋体" w:hint="eastAsia"/>
                <w:szCs w:val="18"/>
              </w:rPr>
              <w:t>工作现场禁止吸烟、进食和饮水。工作完毕，淋浴更衣。注意个人清洁卫生。</w:t>
            </w:r>
          </w:p>
        </w:tc>
      </w:tr>
      <w:tr w:rsidR="00CD4B3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泄</w:t>
            </w:r>
          </w:p>
          <w:p w:rsidR="00CD4B34" w:rsidRDefault="00CD4B34" w:rsidP="0090435F">
            <w:pPr>
              <w:spacing w:line="247" w:lineRule="exact"/>
              <w:rPr>
                <w:rFonts w:ascii="宋体" w:hAnsi="宋体"/>
              </w:rPr>
            </w:pPr>
            <w:r>
              <w:rPr>
                <w:rFonts w:ascii="宋体" w:hAnsi="宋体" w:hint="eastAsia"/>
              </w:rPr>
              <w:t>漏</w:t>
            </w:r>
          </w:p>
          <w:p w:rsidR="00CD4B34" w:rsidRDefault="00CD4B34" w:rsidP="0090435F">
            <w:pPr>
              <w:spacing w:line="247" w:lineRule="exact"/>
              <w:rPr>
                <w:rFonts w:ascii="宋体" w:hAnsi="宋体"/>
              </w:rPr>
            </w:pPr>
            <w:r>
              <w:rPr>
                <w:rFonts w:ascii="宋体" w:hAnsi="宋体" w:hint="eastAsia"/>
              </w:rPr>
              <w:t>处</w:t>
            </w:r>
          </w:p>
          <w:p w:rsidR="00CD4B34" w:rsidRDefault="00CD4B34" w:rsidP="0090435F">
            <w:pPr>
              <w:spacing w:line="247" w:lineRule="exact"/>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D4B34" w:rsidRDefault="00CD4B34" w:rsidP="0090435F">
            <w:pPr>
              <w:spacing w:line="247"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或其它不燃材料吸附或吸收。也可以用不燃性分散剂制成的乳液刷洗，洗液稀释后放入废水系统。大量泄漏：构筑围堤或挖坑收容。用泡沫覆盖，降低蒸气灾害。用防爆泵转移至槽车或专用收集器内，回收或运至废物处理场所处置。</w:t>
            </w:r>
          </w:p>
        </w:tc>
      </w:tr>
      <w:tr w:rsidR="00CD4B34" w:rsidTr="0090435F">
        <w:trPr>
          <w:cantSplit/>
          <w:jc w:val="center"/>
        </w:trPr>
        <w:tc>
          <w:tcPr>
            <w:tcW w:w="489" w:type="dxa"/>
            <w:tcBorders>
              <w:top w:val="single" w:sz="4" w:space="0" w:color="auto"/>
              <w:left w:val="single" w:sz="4" w:space="0" w:color="auto"/>
              <w:right w:val="single" w:sz="4" w:space="0" w:color="auto"/>
            </w:tcBorders>
            <w:vAlign w:val="center"/>
          </w:tcPr>
          <w:p w:rsidR="00CD4B34" w:rsidRDefault="00CD4B34" w:rsidP="0090435F">
            <w:pPr>
              <w:spacing w:line="247" w:lineRule="exact"/>
              <w:rPr>
                <w:rFonts w:ascii="宋体" w:hAnsi="宋体"/>
              </w:rPr>
            </w:pPr>
            <w:r>
              <w:rPr>
                <w:rFonts w:ascii="宋体" w:hAnsi="宋体" w:hint="eastAsia"/>
              </w:rPr>
              <w:t>储</w:t>
            </w:r>
          </w:p>
          <w:p w:rsidR="00CD4B34" w:rsidRDefault="00CD4B34" w:rsidP="0090435F">
            <w:pPr>
              <w:spacing w:line="247"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CD4B34" w:rsidRDefault="00CD4B34" w:rsidP="0090435F">
            <w:pPr>
              <w:spacing w:line="247" w:lineRule="exact"/>
              <w:rPr>
                <w:rFonts w:ascii="宋体" w:hAnsi="宋体"/>
                <w:szCs w:val="18"/>
              </w:rPr>
            </w:pPr>
            <w:r>
              <w:rPr>
                <w:rFonts w:ascii="宋体" w:hAnsi="宋体" w:hint="eastAsia"/>
                <w:szCs w:val="18"/>
              </w:rPr>
              <w:t>储存于阴凉、通风的库房。远离火种、热源。库温不宜超过30℃。包装要求密封，不可与空气接触。应与氧化剂、酸类、碱类分开存放，切忌混储。不宜久存，以免变质。采用防爆型照明、通风设施。禁止使用易产生火花的机械设备和工具。储区应备有泄漏应急处理设备和合适的收容材料。</w:t>
            </w:r>
          </w:p>
          <w:p w:rsidR="00CD4B34" w:rsidRDefault="00CD4B34" w:rsidP="0090435F">
            <w:pPr>
              <w:spacing w:line="247" w:lineRule="exact"/>
              <w:rPr>
                <w:rFonts w:ascii="宋体" w:hAnsi="宋体"/>
              </w:rPr>
            </w:pPr>
            <w:r>
              <w:rPr>
                <w:rFonts w:ascii="宋体" w:hAnsi="宋体" w:hint="eastAsia"/>
                <w:szCs w:val="18"/>
              </w:rPr>
              <w:t>铁路运输时应严格按照铁道部《危险货物运输规则》中的危险货物配装表进行配装。运输时运输车辆应配备相应品种和数量的消防器材及泄漏应急处理设备。夏季最好早晚运输。运输时所用的槽（罐）车应有接地链，槽内可设孔隔板以减少震荡产生静电。严禁与氧化剂、酸类、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B34"/>
    <w:rsid w:val="00CD4B34"/>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9E77A-C5A2-4D08-B522-809F59F2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CD4B34"/>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D4B34"/>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1622</Characters>
  <Application>Microsoft Office Word</Application>
  <DocSecurity>0</DocSecurity>
  <Lines>13</Lines>
  <Paragraphs>3</Paragraphs>
  <ScaleCrop>false</ScaleCrop>
  <Company>zyhq</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